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203" w:rsidRDefault="00B77203" w:rsidP="00B77203">
      <w:pPr>
        <w:autoSpaceDE w:val="0"/>
        <w:autoSpaceDN w:val="0"/>
        <w:adjustRightInd w:val="0"/>
        <w:ind w:firstLine="720"/>
        <w:jc w:val="right"/>
      </w:pPr>
      <w:r>
        <w:rPr>
          <w:rFonts w:ascii="Times New Roman" w:hAnsi="Times New Roman"/>
          <w:sz w:val="26"/>
          <w:szCs w:val="26"/>
        </w:rPr>
        <w:t>Приложение к Сравнительной таблице</w:t>
      </w:r>
      <w:r w:rsidRPr="00B77203">
        <w:t xml:space="preserve"> </w:t>
      </w:r>
    </w:p>
    <w:p w:rsidR="00B77203" w:rsidRDefault="00B77203" w:rsidP="00B77203">
      <w:pPr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 w:val="26"/>
          <w:szCs w:val="26"/>
        </w:rPr>
      </w:pPr>
      <w:r w:rsidRPr="00B77203">
        <w:rPr>
          <w:rFonts w:ascii="Times New Roman" w:hAnsi="Times New Roman"/>
          <w:sz w:val="26"/>
          <w:szCs w:val="26"/>
        </w:rPr>
        <w:t xml:space="preserve">изменений в Устав Нефтеюганского </w:t>
      </w:r>
    </w:p>
    <w:p w:rsidR="00B77203" w:rsidRDefault="00B77203" w:rsidP="00B77203">
      <w:pPr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 w:val="26"/>
          <w:szCs w:val="26"/>
        </w:rPr>
      </w:pPr>
      <w:r w:rsidRPr="00B77203">
        <w:rPr>
          <w:rFonts w:ascii="Times New Roman" w:hAnsi="Times New Roman"/>
          <w:sz w:val="26"/>
          <w:szCs w:val="26"/>
        </w:rPr>
        <w:t xml:space="preserve">муниципального района Ханты-Мансийского </w:t>
      </w:r>
    </w:p>
    <w:p w:rsidR="00B77203" w:rsidRDefault="00B77203" w:rsidP="00B77203">
      <w:pPr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 w:val="26"/>
          <w:szCs w:val="26"/>
        </w:rPr>
      </w:pPr>
      <w:r w:rsidRPr="00B77203">
        <w:rPr>
          <w:rFonts w:ascii="Times New Roman" w:hAnsi="Times New Roman"/>
          <w:sz w:val="26"/>
          <w:szCs w:val="26"/>
        </w:rPr>
        <w:t>автономного округа - Югры</w:t>
      </w:r>
    </w:p>
    <w:p w:rsidR="00B77203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Статья 39.1. Состав и структура Контрольно-счетной палаты Нефтеюганского района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1. Контрольно-счетная палата Нефтеюганского района образуется в составе председателя, заместителя председателя и аппарата Контрольно-счетной палаты Нефтеюганского района. В состав аппарата Контрольно-счетной палаты Нефтеюганского района входят инспекторы и иные штатные работники.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2. Структура Контрольно-счетной палаты Н</w:t>
      </w:r>
      <w:bookmarkStart w:id="0" w:name="_GoBack"/>
      <w:bookmarkEnd w:id="0"/>
      <w:r w:rsidRPr="003F46FD">
        <w:rPr>
          <w:rFonts w:ascii="Times New Roman" w:hAnsi="Times New Roman"/>
          <w:sz w:val="26"/>
          <w:szCs w:val="26"/>
        </w:rPr>
        <w:t xml:space="preserve">ефтеюганского района определяется </w:t>
      </w:r>
      <w:r w:rsidRPr="003F46FD">
        <w:rPr>
          <w:rFonts w:ascii="Times New Roman" w:hAnsi="Times New Roman"/>
          <w:sz w:val="26"/>
          <w:szCs w:val="26"/>
        </w:rPr>
        <w:br/>
        <w:t>в порядке, установленном нормативным правовым актом Думы района.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3. </w:t>
      </w:r>
      <w:r w:rsidRPr="003F46FD">
        <w:rPr>
          <w:rFonts w:ascii="Times New Roman" w:hAnsi="Times New Roman"/>
          <w:sz w:val="26"/>
          <w:szCs w:val="26"/>
        </w:rPr>
        <w:tab/>
        <w:t xml:space="preserve">Руководит работой Контрольно-счетной палаты Нефтеюганского района председатель Контрольно-счетной палаты Нефтеюганского района. 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4. Должность председателя Контрольно-счетной палаты Нефтеюганского района, заместителя председателя относится к муниципальным должностям.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Председатель, заместитель председателя и инспекторы Контрольно-счетной палаты Нефтеюганского района являются должностными лицами Контрольно-счетной палаты Нефтеюганского района. Должностные лица Контрольно-счетной палаты Нефтеюганского района обладают гарантиями профессиональной независимости.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5. Штатная численность Контрольно-счетной палаты Нефтеюганского района определяется решением Думы района по представлению председателя Контрольно-счетной палаты Нефтеюганского района с учетом необходимости выполнения возложенных законодательством полномочий, обеспечения организационной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и функциональной независимости Контрольно-счетной палаты Нефтеюганского района.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6. В Контрольно-счетной палате Нефтеюганского района может быть образован коллегиальный орган (коллегия). Коллегиальный орган (коллегия) рассматривает наиболее важные вопросы деятельности Контрольно-счетной палаты Нефтеюганского района, включая вопросы планирования и организации его деятельности, методологии контрольной деятельности. Компетенция и порядок работы коллегиального органа (коллегии) определяются нормативным правовым актом Думы района.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Статья 39.2. Порядок назначения на должность председателя, заместителя председателя Контрольно-счетной палаты Нефтеюганского района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1. Председатель, заместитель председателя Контрольно-счетной палаты Нефтеюганского района, назначаются на должность Думой района сроком на пять лет.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2. Предложение о кандидатуре на должность председателя Контрольно-счетной палаты Нефтеюганского района вносится в Думу района: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1) председателем Думы района;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2) депутатами Думы района - не менее одной трети от установленного числа депутатов Думы района;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lastRenderedPageBreak/>
        <w:t>3) Главой района.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Право внесения предложений о кандидатуре на должность председателя Контрольно-счетной палаты Нефтеюганского района в Думу района предоставлено также комитетам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и комиссиям Думы района.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Предложения о кандидатурах на должность заместителя председателя Контрольно-счетной палаты Нефтеюганского района вносятся в Думу района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в порядке, установленном нормативным правовым актом Думы района.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3. Порядок рассмотрения кандидатур на должности председателя, заместителя председателя Контрольно-счетной палаты Нефтеюганского района устанавливается нормативным правовым актом Думы района.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Статья 39.3. Полномочия Контрольно-счетной палаты Нефтеюганского района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1. </w:t>
      </w:r>
      <w:r w:rsidRPr="003F46FD">
        <w:rPr>
          <w:rFonts w:ascii="Times New Roman" w:hAnsi="Times New Roman"/>
          <w:sz w:val="26"/>
          <w:szCs w:val="26"/>
        </w:rPr>
        <w:tab/>
        <w:t>Контрольно-счетная палата Нефтеюганского района осуществляет следующие основные полномочия: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1) организация и осуществление контроля за законностью и эффективностью использования средств бюджета Нефтеюганского района, а также иных сре</w:t>
      </w:r>
      <w:proofErr w:type="gramStart"/>
      <w:r w:rsidRPr="003F46FD">
        <w:rPr>
          <w:rFonts w:ascii="Times New Roman" w:hAnsi="Times New Roman"/>
          <w:sz w:val="26"/>
          <w:szCs w:val="26"/>
        </w:rPr>
        <w:t xml:space="preserve">дств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в сл</w:t>
      </w:r>
      <w:proofErr w:type="gramEnd"/>
      <w:r w:rsidRPr="003F46FD">
        <w:rPr>
          <w:rFonts w:ascii="Times New Roman" w:hAnsi="Times New Roman"/>
          <w:sz w:val="26"/>
          <w:szCs w:val="26"/>
        </w:rPr>
        <w:t>учаях, предусмотренных законодательством Российской Федерации;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2) экспертиза проектов бюджета Нефтеюганского района, проверка и анализ обоснованности его показателей;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3) внешняя проверка годового отчета об исполнении бюджета Нефтеюганского района;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4) проведение аудита в сфере закупок товаров, работ и услуг в соответствии </w:t>
      </w:r>
      <w:r w:rsidRPr="003F46FD">
        <w:rPr>
          <w:rFonts w:ascii="Times New Roman" w:hAnsi="Times New Roman"/>
          <w:sz w:val="26"/>
          <w:szCs w:val="26"/>
        </w:rPr>
        <w:br/>
        <w:t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5) оценка эффективности формирования муниципальной собственности Нефтеюганского района, управления и распоряжения такой собственностью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 xml:space="preserve">и </w:t>
      </w:r>
      <w:proofErr w:type="gramStart"/>
      <w:r w:rsidRPr="003F46FD">
        <w:rPr>
          <w:rFonts w:ascii="Times New Roman" w:hAnsi="Times New Roman"/>
          <w:sz w:val="26"/>
          <w:szCs w:val="26"/>
        </w:rPr>
        <w:t>контроль</w:t>
      </w:r>
      <w:r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за</w:t>
      </w:r>
      <w:proofErr w:type="gramEnd"/>
      <w:r w:rsidRPr="003F46FD">
        <w:rPr>
          <w:rFonts w:ascii="Times New Roman" w:hAnsi="Times New Roman"/>
          <w:sz w:val="26"/>
          <w:szCs w:val="26"/>
        </w:rPr>
        <w:t xml:space="preserve"> соблюдением установленного порядка формирования такой собственности, управления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и распоряжения такой собственностью (включая исключительные права на результаты интеллектуальной деятельности);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proofErr w:type="gramStart"/>
      <w:r w:rsidRPr="003F46FD">
        <w:rPr>
          <w:rFonts w:ascii="Times New Roman" w:hAnsi="Times New Roman"/>
          <w:sz w:val="26"/>
          <w:szCs w:val="26"/>
        </w:rPr>
        <w:t xml:space="preserve">6) оценка эффективности предоставления налоговых и иных льгот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 xml:space="preserve">и преимуществ, бюджетных кредитов за счет средств бюджета Нефтеюганского района, а также оценка законности предоставления муниципальных гарантий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 xml:space="preserve">и поручительств или обеспечения исполнения обязательств другими способами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по сделкам, совершаемым юридическими лицами и индивидуальными предпринимателями за счет средств бюджета Нефтеюганского района и имущества, находящегося в муниципальной собственности Нефтеюганского района;</w:t>
      </w:r>
      <w:proofErr w:type="gramEnd"/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7) экспертиза проектов муниципальных правовых актов Нефтеюганского района в части, касающейся расходных обязательств муниципального образования Нефтеюганский район, экспертиза проектов муниципальных правовых актов Нефтеюганского района, приводящих к изменению доходов бюджета Нефтеюганского района, а также муниципальных программ Нефтеюганского района (проектов муниципальных программ Нефтеюганского района);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8) анализ и мониторинг бюджетного процесса в муниципальном образовании Нефтеюганский район, в том числе подготовка предложений по устранению </w:t>
      </w:r>
      <w:r w:rsidRPr="003F46FD">
        <w:rPr>
          <w:rFonts w:ascii="Times New Roman" w:hAnsi="Times New Roman"/>
          <w:sz w:val="26"/>
          <w:szCs w:val="26"/>
        </w:rPr>
        <w:lastRenderedPageBreak/>
        <w:t>выявленных отклонений в бюджетном процессе и совершенствованию бюджетного законодательства Российской Федерации;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9)  проведение оперативного анализа исполнения и </w:t>
      </w:r>
      <w:proofErr w:type="gramStart"/>
      <w:r w:rsidRPr="003F46FD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3F46FD">
        <w:rPr>
          <w:rFonts w:ascii="Times New Roman" w:hAnsi="Times New Roman"/>
          <w:sz w:val="26"/>
          <w:szCs w:val="26"/>
        </w:rPr>
        <w:t xml:space="preserve"> организацией исполнения бюджета Нефтеюганского района в текущем финансовом году, ежеквартальное представление информации о ходе исполнения бюджета Нефтеюганского района,</w:t>
      </w:r>
      <w:r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о результатах проведенных контрольных и экспертно-аналитических мероприятий в Думу района и Главе района;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10) осуществление </w:t>
      </w:r>
      <w:proofErr w:type="gramStart"/>
      <w:r w:rsidRPr="003F46FD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3F46FD">
        <w:rPr>
          <w:rFonts w:ascii="Times New Roman" w:hAnsi="Times New Roman"/>
          <w:sz w:val="26"/>
          <w:szCs w:val="26"/>
        </w:rPr>
        <w:t xml:space="preserve"> состоянием муниципального внутреннего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и внешнего долга;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11) оценка реализуемости, рисков и результатов достижения целей социально-экономического развития муниципального образования Нефтеюганский район, предусмотренных документами стратегического планирования муниципального образования Нефтеюганский район, в пределах компетенции Контрольно-счетной палаты Нефтеюганского района;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12) участие в пределах полномочий в мероприятиях, направленных </w:t>
      </w:r>
      <w:r w:rsidRPr="003F46FD">
        <w:rPr>
          <w:rFonts w:ascii="Times New Roman" w:hAnsi="Times New Roman"/>
          <w:sz w:val="26"/>
          <w:szCs w:val="26"/>
        </w:rPr>
        <w:br/>
        <w:t>на противодействие коррупции;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13) иные полномочия в сфере внешнего муниципального финансового контроля, установленные федеральными законами, законами Ханты-Мансийского автономного округа </w:t>
      </w:r>
      <w:r>
        <w:rPr>
          <w:rFonts w:ascii="Times New Roman" w:hAnsi="Times New Roman"/>
          <w:sz w:val="26"/>
          <w:szCs w:val="26"/>
        </w:rPr>
        <w:t>–</w:t>
      </w:r>
      <w:r w:rsidRPr="003F46FD">
        <w:rPr>
          <w:rFonts w:ascii="Times New Roman" w:hAnsi="Times New Roman"/>
          <w:sz w:val="26"/>
          <w:szCs w:val="26"/>
        </w:rPr>
        <w:t xml:space="preserve"> Югры, настоящим Уставом и нормативными правовыми актами Думы района.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2. Контрольно-счетная палата Нефтеюганского района наряду с полномочиями, предусмотренными пунктом 1 настоящей статьи, осуществляет </w:t>
      </w:r>
      <w:proofErr w:type="gramStart"/>
      <w:r w:rsidRPr="003F46FD">
        <w:rPr>
          <w:rFonts w:ascii="Times New Roman" w:hAnsi="Times New Roman"/>
          <w:sz w:val="26"/>
          <w:szCs w:val="26"/>
        </w:rPr>
        <w:t xml:space="preserve">контроль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за</w:t>
      </w:r>
      <w:proofErr w:type="gramEnd"/>
      <w:r w:rsidRPr="003F46FD">
        <w:rPr>
          <w:rFonts w:ascii="Times New Roman" w:hAnsi="Times New Roman"/>
          <w:sz w:val="26"/>
          <w:szCs w:val="26"/>
        </w:rPr>
        <w:t xml:space="preserve"> законностью</w:t>
      </w:r>
      <w:r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и эффективностью использования средств бюджета Нефтеюганского района, поступивших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в бюджеты поселений, входящих в состав муниципального района.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Статья 39.4. Досрочное освобождение от должности председателя, заместителя председателя Контрольно-счетной палаты Нефтеюганского района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1. Должностное лицо Контрольно-счетной палаты Нефтеюганского района, замещающее муниципальную должность, досрочно освобождается от должности </w:t>
      </w:r>
      <w:r w:rsidRPr="003F46FD">
        <w:rPr>
          <w:rFonts w:ascii="Times New Roman" w:hAnsi="Times New Roman"/>
          <w:sz w:val="26"/>
          <w:szCs w:val="26"/>
        </w:rPr>
        <w:br/>
        <w:t xml:space="preserve">на основании решения Думы района в случае: 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1) вступления в законную силу обвинительного приговора суда в отношении его;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2) признания его недееспособным или ограниченно дееспособным вступившим </w:t>
      </w:r>
      <w:r w:rsidRPr="003F46FD">
        <w:rPr>
          <w:rFonts w:ascii="Times New Roman" w:hAnsi="Times New Roman"/>
          <w:sz w:val="26"/>
          <w:szCs w:val="26"/>
        </w:rPr>
        <w:br/>
        <w:t>в законную силу решением суда;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3)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на территории иностранного государства;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>4) подачи письменного заявления об отставке;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5) нарушения требований законодательства Российской </w:t>
      </w:r>
      <w:proofErr w:type="gramStart"/>
      <w:r w:rsidRPr="003F46FD">
        <w:rPr>
          <w:rFonts w:ascii="Times New Roman" w:hAnsi="Times New Roman"/>
          <w:sz w:val="26"/>
          <w:szCs w:val="26"/>
        </w:rPr>
        <w:t>Федерации</w:t>
      </w:r>
      <w:proofErr w:type="gramEnd"/>
      <w:r w:rsidRPr="003F46FD"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br/>
        <w:t xml:space="preserve">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такого должностного лица проголосует большинство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от установленного числа депутатов Думы района;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lastRenderedPageBreak/>
        <w:t xml:space="preserve">6) достижения установленного нормативным правовым актом Думы района </w:t>
      </w:r>
      <w:r w:rsidRPr="003F46FD">
        <w:rPr>
          <w:rFonts w:ascii="Times New Roman" w:hAnsi="Times New Roman"/>
          <w:sz w:val="26"/>
          <w:szCs w:val="26"/>
        </w:rPr>
        <w:br/>
        <w:t xml:space="preserve">в соответствии с федеральным законом предельного возраста пребывания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в должности;</w:t>
      </w:r>
    </w:p>
    <w:p w:rsidR="00B77203" w:rsidRPr="003F46FD" w:rsidRDefault="00B77203" w:rsidP="00B77203">
      <w:pPr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3F46FD">
        <w:rPr>
          <w:rFonts w:ascii="Times New Roman" w:hAnsi="Times New Roman"/>
          <w:sz w:val="26"/>
          <w:szCs w:val="26"/>
        </w:rPr>
        <w:t xml:space="preserve">7) выявления обстоятельств, предусмотренных частями 4 - 6 статьи 7 Федерального закона от 07.02.2011 № 6-ФЗ «Об общих принципах организации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 xml:space="preserve">и деятельности контрольно-счетных органов субъектов Российской Федерации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и муниципальных образований»;</w:t>
      </w:r>
    </w:p>
    <w:p w:rsidR="009D61A5" w:rsidRDefault="00B77203" w:rsidP="00B77203">
      <w:proofErr w:type="gramStart"/>
      <w:r w:rsidRPr="003F46FD">
        <w:rPr>
          <w:rFonts w:ascii="Times New Roman" w:hAnsi="Times New Roman"/>
          <w:sz w:val="26"/>
          <w:szCs w:val="26"/>
        </w:rPr>
        <w:t xml:space="preserve">8) несоблюдения ограничений, запретов, неисполнения обязанностей, которые установлены Федеральным законом от 25.12.2008 № 273-ФЗ «О противодействии коррупции», Федеральным законом от 03.12.2012 № 230-ФЗ «О контроле </w:t>
      </w:r>
      <w:r>
        <w:rPr>
          <w:rFonts w:ascii="Times New Roman" w:hAnsi="Times New Roman"/>
          <w:sz w:val="26"/>
          <w:szCs w:val="26"/>
        </w:rPr>
        <w:br/>
      </w:r>
      <w:r w:rsidRPr="003F46FD">
        <w:rPr>
          <w:rFonts w:ascii="Times New Roman" w:hAnsi="Times New Roman"/>
          <w:sz w:val="26"/>
          <w:szCs w:val="26"/>
        </w:rPr>
        <w:t>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3F46FD">
        <w:rPr>
          <w:rFonts w:ascii="Times New Roman" w:hAnsi="Times New Roman"/>
          <w:sz w:val="26"/>
          <w:szCs w:val="26"/>
        </w:rPr>
        <w:t>в иностранных банках, расположенных</w:t>
      </w:r>
      <w:proofErr w:type="gramEnd"/>
      <w:r w:rsidRPr="003F46FD">
        <w:rPr>
          <w:rFonts w:ascii="Times New Roman" w:hAnsi="Times New Roman"/>
          <w:sz w:val="26"/>
          <w:szCs w:val="26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sectPr w:rsidR="009D6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203"/>
    <w:rsid w:val="009D61A5"/>
    <w:rsid w:val="00B7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7720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2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2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7720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2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2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Шатиленя Виктория Викторовна</dc:creator>
  <cp:lastModifiedBy>Шатиленя Виктория Викторовна</cp:lastModifiedBy>
  <cp:revision>1</cp:revision>
  <cp:lastPrinted>2021-11-15T08:27:00Z</cp:lastPrinted>
  <dcterms:created xsi:type="dcterms:W3CDTF">2021-11-15T08:24:00Z</dcterms:created>
  <dcterms:modified xsi:type="dcterms:W3CDTF">2021-11-15T08:27:00Z</dcterms:modified>
</cp:coreProperties>
</file>